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w:t>
      </w:r>
      <w:r>
        <w:rPr>
          <w:rFonts w:hint="eastAsia" w:ascii="方正小标宋_GBK" w:hAnsi="宋体" w:eastAsia="方正小标宋_GBK"/>
          <w:sz w:val="44"/>
          <w:szCs w:val="44"/>
          <w:lang w:eastAsia="zh-CN"/>
        </w:rPr>
        <w:t>审计局</w:t>
      </w:r>
      <w:r>
        <w:rPr>
          <w:rFonts w:hint="eastAsia" w:ascii="方正小标宋_GBK" w:hAnsi="宋体" w:eastAsia="方正小标宋_GBK"/>
          <w:sz w:val="44"/>
          <w:szCs w:val="44"/>
        </w:rPr>
        <w:t>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1、贯彻执行国家有关审计工作的方针政策，按照上级审计机关和当地党政部门的要求，确定年度审计工作重点，编制年度审计项目计划。</w:t>
      </w:r>
      <w:r>
        <w:rPr>
          <w:rFonts w:hint="eastAsia" w:ascii="仿宋_GB2312" w:eastAsia="仿宋_GB2312"/>
          <w:sz w:val="32"/>
          <w:szCs w:val="32"/>
        </w:rPr>
        <w:br w:type="textWrapping"/>
      </w:r>
      <w:r>
        <w:rPr>
          <w:rFonts w:hint="eastAsia" w:ascii="仿宋_GB2312" w:eastAsia="仿宋_GB2312"/>
          <w:sz w:val="32"/>
          <w:szCs w:val="32"/>
        </w:rPr>
        <w:t>2、向县领导报告和向有关单位通报审计情况，并对有关问题提出意见和建议。</w:t>
      </w:r>
      <w:r>
        <w:rPr>
          <w:rFonts w:hint="eastAsia" w:ascii="仿宋_GB2312" w:eastAsia="仿宋_GB2312"/>
          <w:sz w:val="32"/>
          <w:szCs w:val="32"/>
        </w:rPr>
        <w:br w:type="textWrapping"/>
      </w:r>
      <w:r>
        <w:rPr>
          <w:rFonts w:hint="eastAsia" w:ascii="仿宋_GB2312" w:eastAsia="仿宋_GB2312"/>
          <w:sz w:val="32"/>
          <w:szCs w:val="32"/>
        </w:rPr>
        <w:t>3、依据《中华人民共和国审计法》的规定，直接进行下列审计：依据《中华人民共和国审计法》、《中华人民共和国预算法》的规定，审计监督同级财政预算执行情况和其他财政收支。对本级财政预算执行情况和其他财政收支进行审计。对县直各行政部门、各事业单位及下属单位的财政财务收支；乡镇级财政决算和预算执行情况及其所属的事业单位的财务收支；社会团体的财务收支进行审计。经上级审计机关授权对国家金融机构、国有非银行金融机构的资产、负债和损益情况以及国际组织和外国政府援助、贷款项目的财务收支情况进行审计。审计机关对政府投资和以政府投资为主的建设项目的预算执行情况和竣工决算进行审计。对重大建设项目程序、工程管理、工程质量全过程进行跟踪审计和绩效审计。对政府有关部门管理的和受政府委托由社会团体管理的社会保障基金、土地、矿产资源、节能减排、生态环境保护资金、社会捐赠资金及其他有关基金、资金的财务收支进行审计。按规定组织对党政领导干部和国有企业法定代表人进行任期经济责任审计。社会审计机构审计的单位依法属于审计机关审计监督对象的，审计机关按照国务院的规定，有权对该社会审计机构出具的相关审计报告进行核查。其他法律法规规定应由审计局进行的审计。</w:t>
      </w:r>
      <w:r>
        <w:rPr>
          <w:rFonts w:hint="eastAsia" w:ascii="仿宋_GB2312" w:eastAsia="仿宋_GB2312"/>
          <w:sz w:val="32"/>
          <w:szCs w:val="32"/>
        </w:rPr>
        <w:br w:type="textWrapping"/>
      </w:r>
      <w:r>
        <w:rPr>
          <w:rFonts w:hint="eastAsia" w:ascii="仿宋_GB2312" w:eastAsia="仿宋_GB2312"/>
          <w:sz w:val="32"/>
          <w:szCs w:val="32"/>
        </w:rPr>
        <w:t>4、贯彻执行国家财经方针、政策和区域经济调控措施情况的行业审计、专项审计和审计调查。</w:t>
      </w:r>
      <w:r>
        <w:rPr>
          <w:rFonts w:hint="eastAsia" w:ascii="仿宋_GB2312" w:eastAsia="仿宋_GB2312"/>
          <w:sz w:val="32"/>
          <w:szCs w:val="32"/>
        </w:rPr>
        <w:br w:type="textWrapping"/>
      </w:r>
      <w:r>
        <w:rPr>
          <w:rFonts w:hint="eastAsia" w:ascii="仿宋_GB2312" w:eastAsia="仿宋_GB2312"/>
          <w:sz w:val="32"/>
          <w:szCs w:val="32"/>
        </w:rPr>
        <w:t>5、经国家审计署、自治区审计厅、地区审计局授权对对口援疆建设项目进行跟踪审计和竣工（结算）决算审计。</w:t>
      </w:r>
      <w:r>
        <w:rPr>
          <w:rFonts w:hint="eastAsia" w:ascii="仿宋_GB2312" w:eastAsia="仿宋_GB2312"/>
          <w:sz w:val="32"/>
          <w:szCs w:val="32"/>
        </w:rPr>
        <w:br w:type="textWrapping"/>
      </w:r>
      <w:r>
        <w:rPr>
          <w:rFonts w:hint="eastAsia" w:ascii="仿宋_GB2312" w:eastAsia="仿宋_GB2312"/>
          <w:sz w:val="32"/>
          <w:szCs w:val="32"/>
        </w:rPr>
        <w:t>6、承办上级审计机关和当地党政交办的其他审计事项。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新疆喀什地区塔什库尔干县审计局</w:t>
      </w:r>
      <w:r>
        <w:rPr>
          <w:rFonts w:hint="eastAsia" w:ascii="仿宋_GB2312" w:eastAsia="仿宋_GB2312"/>
          <w:sz w:val="32"/>
          <w:szCs w:val="32"/>
        </w:rPr>
        <w:t>部门决算包括：</w:t>
      </w:r>
      <w:r>
        <w:rPr>
          <w:rFonts w:ascii="仿宋_GB2312" w:eastAsia="仿宋_GB2312"/>
          <w:sz w:val="32"/>
          <w:szCs w:val="32"/>
        </w:rPr>
        <w:t>新疆喀什地区塔什库尔干县审计局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新疆喀什地区塔什库尔干县审计局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6069"/>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642"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6069"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1753" w:type="dxa"/>
            <w:vAlign w:val="center"/>
          </w:tcPr>
          <w:p>
            <w:pPr>
              <w:spacing w:line="500" w:lineRule="exact"/>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2"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6069"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新疆喀什地区塔什库尔干县审计局</w:t>
            </w:r>
          </w:p>
        </w:tc>
        <w:tc>
          <w:tcPr>
            <w:tcW w:w="1753"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644.47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，与上年相比，增加511.86万元，增长385.99%，增加的主要原因是：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调资，津贴补贴调资，竣工决算审计费增加导致本年决算数较上年增加；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644.47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，与上年相比，增加511.86万元，增长385.99%，增加的主要原因是：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调资，津贴补贴调资，竣工决算审计费增加导致本年决算数较上年增加；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ascii="仿宋_GB2312" w:eastAsia="仿宋_GB2312"/>
          <w:color w:val="000000"/>
          <w:sz w:val="32"/>
          <w:szCs w:val="32"/>
        </w:rPr>
        <w:t>无变化。</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644.47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644.47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况：本年收入年初预算数115.79万元</w:t>
      </w:r>
      <w:r>
        <w:rPr>
          <w:rFonts w:hint="eastAsia" w:ascii="仿宋_GB2312" w:eastAsia="仿宋_GB2312"/>
          <w:sz w:val="32"/>
          <w:szCs w:val="32"/>
        </w:rPr>
        <w:t>，决算数644.47万元</w:t>
      </w:r>
      <w:r>
        <w:rPr>
          <w:rFonts w:ascii="仿宋_GB2312" w:eastAsia="仿宋_GB2312"/>
          <w:sz w:val="32"/>
          <w:szCs w:val="32"/>
        </w:rPr>
        <w:t>，预决算差异率456.59%，差异主要原因是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w:t>
      </w:r>
      <w:r>
        <w:rPr>
          <w:rFonts w:hint="eastAsia" w:ascii="仿宋_GB2312" w:eastAsia="仿宋_GB2312"/>
          <w:color w:val="000000" w:themeColor="text1"/>
          <w:sz w:val="32"/>
          <w:szCs w:val="32"/>
          <w:lang w:val="en-US" w:eastAsia="zh-CN"/>
        </w:rPr>
        <w:t>追加</w:t>
      </w:r>
      <w:r>
        <w:rPr>
          <w:rFonts w:ascii="仿宋_GB2312" w:eastAsia="仿宋_GB2312"/>
          <w:sz w:val="32"/>
          <w:szCs w:val="32"/>
        </w:rPr>
        <w:t>导致决算数较预算数增加。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644.47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220.82</w:t>
      </w:r>
      <w:r>
        <w:rPr>
          <w:rFonts w:hint="eastAsia" w:ascii="仿宋_GB2312" w:eastAsia="仿宋_GB2312"/>
          <w:color w:val="000000" w:themeColor="text1"/>
          <w:sz w:val="32"/>
          <w:szCs w:val="32"/>
        </w:rPr>
        <w:t>万元，占</w:t>
      </w:r>
      <w:r>
        <w:rPr>
          <w:rFonts w:hint="eastAsia" w:ascii="仿宋_GB2312" w:eastAsia="仿宋_GB2312"/>
          <w:sz w:val="32"/>
          <w:szCs w:val="32"/>
        </w:rPr>
        <w:t>34.26%</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423.66</w:t>
      </w:r>
      <w:r>
        <w:rPr>
          <w:rFonts w:hint="eastAsia" w:ascii="仿宋_GB2312" w:eastAsia="仿宋_GB2312"/>
          <w:color w:val="000000" w:themeColor="text1"/>
          <w:sz w:val="32"/>
          <w:szCs w:val="32"/>
        </w:rPr>
        <w:t>万元，占</w:t>
      </w:r>
      <w:r>
        <w:rPr>
          <w:rFonts w:hint="eastAsia" w:ascii="仿宋_GB2312" w:eastAsia="仿宋_GB2312"/>
          <w:sz w:val="32"/>
          <w:szCs w:val="32"/>
        </w:rPr>
        <w:t>65.74%</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与年初预算数相比情况：本年支出年初预算数115.79万元，</w:t>
      </w:r>
      <w:r>
        <w:rPr>
          <w:rFonts w:hint="eastAsia" w:ascii="仿宋_GB2312" w:eastAsia="仿宋_GB2312"/>
          <w:sz w:val="32"/>
          <w:szCs w:val="32"/>
        </w:rPr>
        <w:t>决算数644.47万元</w:t>
      </w:r>
      <w:r>
        <w:rPr>
          <w:rFonts w:ascii="仿宋_GB2312" w:eastAsia="仿宋_GB2312"/>
          <w:sz w:val="32"/>
          <w:szCs w:val="32"/>
        </w:rPr>
        <w:t>，预决算差异率456.59%，差异主要原因是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w:t>
      </w:r>
      <w:r>
        <w:rPr>
          <w:rFonts w:hint="eastAsia" w:ascii="仿宋_GB2312" w:eastAsia="仿宋_GB2312"/>
          <w:color w:val="000000" w:themeColor="text1"/>
          <w:sz w:val="32"/>
          <w:szCs w:val="32"/>
          <w:lang w:val="en-US" w:eastAsia="zh-CN"/>
        </w:rPr>
        <w:t>追加</w:t>
      </w:r>
      <w:r>
        <w:rPr>
          <w:rFonts w:ascii="仿宋_GB2312" w:eastAsia="仿宋_GB2312"/>
          <w:sz w:val="32"/>
          <w:szCs w:val="32"/>
        </w:rPr>
        <w:t>导致决算数较预算数增加。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644.47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，与上年相比，增加511.86万元，增长385.99%，增加的主要原因是：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调资，津贴补贴调资，竣工决算审计费增加导致本年决算数较上年增加</w:t>
      </w:r>
      <w:r>
        <w:rPr>
          <w:rFonts w:hint="eastAsia" w:ascii="仿宋_GB2312" w:eastAsia="仿宋_GB2312"/>
          <w:sz w:val="32"/>
          <w:szCs w:val="32"/>
        </w:rPr>
        <w:t>。</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644.47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，与上年相比，增加511.86万元，增长385.99%，增加的主要原因是：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调资，津贴补贴调资，竣工决算审计费增加导致本年决算数较上年增加</w:t>
      </w:r>
      <w:r>
        <w:rPr>
          <w:rFonts w:ascii="仿宋_GB2312" w:eastAsia="仿宋_GB2312"/>
          <w:sz w:val="32"/>
          <w:szCs w:val="32"/>
        </w:rPr>
        <w:t>。</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220.82</w:t>
      </w:r>
      <w:r>
        <w:rPr>
          <w:rFonts w:hint="eastAsia" w:ascii="仿宋_GB2312" w:eastAsia="仿宋_GB2312"/>
          <w:color w:val="000000" w:themeColor="text1"/>
          <w:sz w:val="32"/>
          <w:szCs w:val="32"/>
        </w:rPr>
        <w:t>万元，项目支出</w:t>
      </w:r>
      <w:r>
        <w:rPr>
          <w:rFonts w:hint="eastAsia" w:ascii="仿宋_GB2312" w:eastAsia="仿宋_GB2312"/>
          <w:sz w:val="32"/>
          <w:szCs w:val="32"/>
        </w:rPr>
        <w:t>423.66</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115.79</w:t>
      </w:r>
      <w:r>
        <w:rPr>
          <w:rFonts w:hint="eastAsia" w:ascii="仿宋_GB2312" w:eastAsia="仿宋_GB2312"/>
          <w:color w:val="000000" w:themeColor="text1"/>
          <w:sz w:val="32"/>
          <w:szCs w:val="32"/>
        </w:rPr>
        <w:t>万元，决算数</w:t>
      </w:r>
      <w:r>
        <w:rPr>
          <w:rFonts w:hint="eastAsia" w:ascii="仿宋_GB2312" w:eastAsia="仿宋_GB2312"/>
          <w:sz w:val="32"/>
          <w:szCs w:val="32"/>
        </w:rPr>
        <w:t>644.47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，预决算差异率456.59%，差异主要原因是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w:t>
      </w:r>
      <w:r>
        <w:rPr>
          <w:rFonts w:hint="eastAsia" w:ascii="仿宋_GB2312" w:eastAsia="仿宋_GB2312"/>
          <w:color w:val="000000" w:themeColor="text1"/>
          <w:sz w:val="32"/>
          <w:szCs w:val="32"/>
          <w:lang w:val="en-US" w:eastAsia="zh-CN"/>
        </w:rPr>
        <w:t>追加</w:t>
      </w:r>
      <w:r>
        <w:rPr>
          <w:rFonts w:ascii="仿宋_GB2312" w:eastAsia="仿宋_GB2312"/>
          <w:sz w:val="32"/>
          <w:szCs w:val="32"/>
        </w:rPr>
        <w:t>导致决算数较预算数增加</w:t>
      </w:r>
      <w:r>
        <w:rPr>
          <w:rFonts w:ascii="仿宋_GB2312" w:eastAsia="仿宋_GB2312"/>
          <w:color w:val="000000" w:themeColor="text1"/>
          <w:sz w:val="32"/>
          <w:szCs w:val="32"/>
        </w:rPr>
        <w:t>。</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115.79</w:t>
      </w:r>
      <w:r>
        <w:rPr>
          <w:rFonts w:hint="eastAsia" w:ascii="仿宋_GB2312" w:eastAsia="仿宋_GB2312"/>
          <w:color w:val="000000" w:themeColor="text1"/>
          <w:sz w:val="32"/>
          <w:szCs w:val="32"/>
        </w:rPr>
        <w:t>万元，决算数</w:t>
      </w:r>
      <w:r>
        <w:rPr>
          <w:rFonts w:hint="eastAsia" w:ascii="仿宋_GB2312" w:eastAsia="仿宋_GB2312"/>
          <w:sz w:val="32"/>
          <w:szCs w:val="32"/>
        </w:rPr>
        <w:t>644.47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，预决算差异率456.59%，差异主要原因是</w:t>
      </w:r>
      <w:bookmarkEnd w:id="33"/>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w:t>
      </w:r>
      <w:r>
        <w:rPr>
          <w:rFonts w:hint="eastAsia" w:ascii="仿宋_GB2312" w:eastAsia="仿宋_GB2312"/>
          <w:color w:val="000000" w:themeColor="text1"/>
          <w:sz w:val="32"/>
          <w:szCs w:val="32"/>
          <w:lang w:val="en-US" w:eastAsia="zh-CN"/>
        </w:rPr>
        <w:t>追加</w:t>
      </w:r>
      <w:r>
        <w:rPr>
          <w:rFonts w:ascii="仿宋_GB2312" w:eastAsia="仿宋_GB2312"/>
          <w:sz w:val="32"/>
          <w:szCs w:val="32"/>
        </w:rPr>
        <w:t>导致决算数较预算数增加。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644.47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，与上年相比，增加511.86万元，增长385.99%，增加的主要原因是：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调资，津贴补贴调资，竣工决算审计费增加导致本年决算数较上年增加</w:t>
      </w:r>
      <w:r>
        <w:rPr>
          <w:rFonts w:ascii="仿宋_GB2312" w:eastAsia="仿宋_GB2312"/>
          <w:color w:val="000000" w:themeColor="text1"/>
          <w:sz w:val="32"/>
          <w:szCs w:val="32"/>
        </w:rPr>
        <w:t>。</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644.47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，与上年相比，增加511.86万元，增长385.99%，增加的主要原因是：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调资，津贴补贴调资，竣工决算审计费增加导致本年决算数较上年增加</w:t>
      </w:r>
      <w:r>
        <w:rPr>
          <w:rFonts w:hint="eastAsia" w:ascii="仿宋_GB2312" w:eastAsia="仿宋_GB2312"/>
          <w:sz w:val="32"/>
          <w:szCs w:val="32"/>
        </w:rPr>
        <w:t>。</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住房保障支出6.77万元,一般公共服务支出627.7万元,社会保障和就业支出10.01万元。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工资福利支出106.74万元,商品和服务支出533.73万元,对个人和家庭的补助4万元。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115.79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644.47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，预决算差异率456.59%，差异主要原因是</w:t>
      </w:r>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w:t>
      </w:r>
      <w:r>
        <w:rPr>
          <w:rFonts w:hint="eastAsia" w:ascii="仿宋_GB2312" w:eastAsia="仿宋_GB2312"/>
          <w:color w:val="000000" w:themeColor="text1"/>
          <w:sz w:val="32"/>
          <w:szCs w:val="32"/>
          <w:lang w:val="en-US" w:eastAsia="zh-CN"/>
        </w:rPr>
        <w:t>追加</w:t>
      </w:r>
      <w:r>
        <w:rPr>
          <w:rFonts w:ascii="仿宋_GB2312" w:eastAsia="仿宋_GB2312"/>
          <w:sz w:val="32"/>
          <w:szCs w:val="32"/>
        </w:rPr>
        <w:t>导致决算数较预算数增加</w:t>
      </w:r>
      <w:r>
        <w:rPr>
          <w:rFonts w:ascii="仿宋_GB2312" w:eastAsia="仿宋_GB2312"/>
          <w:color w:val="000000" w:themeColor="text1"/>
          <w:sz w:val="32"/>
          <w:szCs w:val="32"/>
        </w:rPr>
        <w:t>。</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115.79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644.47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，预决算差异率456.59%，差异主要原因是</w:t>
      </w:r>
      <w:bookmarkEnd w:id="43"/>
      <w:r>
        <w:rPr>
          <w:rFonts w:hint="eastAsia" w:ascii="仿宋_GB2312" w:eastAsia="仿宋_GB2312"/>
          <w:color w:val="000000" w:themeColor="text1"/>
          <w:sz w:val="32"/>
          <w:szCs w:val="32"/>
        </w:rPr>
        <w:t>政策性工资增加，其中：基本工资调资，高海拔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调资，津贴补贴调资，竣工决算审计费</w:t>
      </w:r>
      <w:r>
        <w:rPr>
          <w:rFonts w:hint="eastAsia" w:ascii="仿宋_GB2312" w:eastAsia="仿宋_GB2312"/>
          <w:color w:val="000000" w:themeColor="text1"/>
          <w:sz w:val="32"/>
          <w:szCs w:val="32"/>
          <w:lang w:val="en-US" w:eastAsia="zh-CN"/>
        </w:rPr>
        <w:t>追加</w:t>
      </w:r>
      <w:r>
        <w:rPr>
          <w:rFonts w:ascii="仿宋_GB2312" w:eastAsia="仿宋_GB2312"/>
          <w:sz w:val="32"/>
          <w:szCs w:val="32"/>
        </w:rPr>
        <w:t>导致决算数较预算数增加。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，预决算差异率0%，差异主要原因是无此项支出。</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，预决算差异率0%，差异主要原因是无此项支出。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color w:val="000000"/>
          <w:sz w:val="32"/>
          <w:szCs w:val="32"/>
        </w:rPr>
      </w:pPr>
      <w:bookmarkStart w:id="52" w:name="OLE_LINK74"/>
      <w:bookmarkStart w:id="53" w:name="OLE_LINK80"/>
      <w:bookmarkStart w:id="54" w:name="OLE_LINK79"/>
      <w:r>
        <w:rPr>
          <w:rFonts w:hint="eastAsia" w:ascii="仿宋_GB2312" w:eastAsia="仿宋_GB2312"/>
          <w:color w:val="000000"/>
          <w:sz w:val="32"/>
          <w:szCs w:val="32"/>
        </w:rPr>
        <w:t>2018年度</w:t>
      </w:r>
      <w:bookmarkStart w:id="55" w:name="OLE_LINK29"/>
      <w:r>
        <w:rPr>
          <w:rFonts w:hint="eastAsia" w:ascii="仿宋_GB2312" w:eastAsia="仿宋_GB2312"/>
          <w:color w:val="000000"/>
          <w:sz w:val="32"/>
          <w:szCs w:val="32"/>
        </w:rPr>
        <w:t>一般公共预算“三公”经费支出决算</w:t>
      </w:r>
      <w:bookmarkEnd w:id="55"/>
      <w:r>
        <w:rPr>
          <w:rFonts w:hint="eastAsia" w:ascii="仿宋_GB2312" w:eastAsia="仿宋_GB2312"/>
          <w:sz w:val="32"/>
          <w:szCs w:val="32"/>
          <w:lang w:val="en-US" w:eastAsia="zh-CN"/>
        </w:rPr>
        <w:t>2</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End w:id="52"/>
      <w:bookmarkStart w:id="56" w:name="OLE_LINK75"/>
      <w:r>
        <w:rPr>
          <w:rFonts w:hint="eastAsia" w:ascii="仿宋_GB2312" w:eastAsia="仿宋_GB2312"/>
          <w:color w:val="000000"/>
          <w:sz w:val="32"/>
          <w:szCs w:val="32"/>
          <w:highlight w:val="none"/>
        </w:rPr>
        <w:t>其中，</w:t>
      </w:r>
      <w:bookmarkStart w:id="57" w:name="OLE_LINK30"/>
      <w:r>
        <w:rPr>
          <w:rFonts w:hint="eastAsia" w:ascii="仿宋_GB2312" w:eastAsia="仿宋_GB2312"/>
          <w:color w:val="000000"/>
          <w:sz w:val="32"/>
          <w:szCs w:val="32"/>
          <w:highlight w:val="none"/>
        </w:rPr>
        <w:t>因公出国（境）费支出</w:t>
      </w:r>
      <w:bookmarkEnd w:id="57"/>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6"/>
      <w:bookmarkStart w:id="58" w:name="OLE_LINK31"/>
      <w:bookmarkStart w:id="59"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8"/>
      <w:r>
        <w:rPr>
          <w:rFonts w:hint="eastAsia" w:ascii="仿宋_GB2312" w:eastAsia="仿宋_GB2312"/>
          <w:sz w:val="32"/>
          <w:szCs w:val="32"/>
          <w:highlight w:val="none"/>
          <w:lang w:val="en-US" w:eastAsia="zh-CN"/>
        </w:rPr>
        <w:t>2</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9"/>
      <w:bookmarkStart w:id="60" w:name="OLE_LINK32"/>
      <w:bookmarkStart w:id="61" w:name="OLE_LINK77"/>
      <w:bookmarkStart w:id="62" w:name="OLE_LINK78"/>
      <w:r>
        <w:rPr>
          <w:rFonts w:hint="eastAsia" w:ascii="仿宋_GB2312" w:eastAsia="仿宋_GB2312"/>
          <w:color w:val="000000"/>
          <w:sz w:val="32"/>
          <w:szCs w:val="32"/>
        </w:rPr>
        <w:t>公务接待费支出</w:t>
      </w:r>
      <w:bookmarkEnd w:id="60"/>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1"/>
      <w:bookmarkEnd w:id="62"/>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新疆喀什地区塔什库尔干县审计局</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4"/>
      <w:bookmarkStart w:id="65" w:name="OLE_LINK35"/>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hint="eastAsia" w:ascii="仿宋_GB2312" w:eastAsia="仿宋_GB2312"/>
          <w:color w:val="000000" w:themeColor="text1"/>
          <w:sz w:val="32"/>
          <w:szCs w:val="32"/>
          <w:lang w:eastAsia="zh-CN"/>
        </w:rPr>
        <w:t>本单位</w:t>
      </w:r>
      <w:r>
        <w:rPr>
          <w:rFonts w:ascii="仿宋_GB2312" w:eastAsia="仿宋_GB2312"/>
          <w:color w:val="000000" w:themeColor="text1"/>
          <w:sz w:val="32"/>
          <w:szCs w:val="32"/>
        </w:rPr>
        <w:t>无因公出国（境）支出。</w:t>
      </w:r>
      <w:bookmarkEnd w:id="53"/>
      <w:bookmarkEnd w:id="54"/>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2</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汽车油料、维护费、保险费等支出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新疆喀什地区塔什库尔干县审计局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万元，决算数2万元</w:t>
      </w:r>
      <w:r>
        <w:rPr>
          <w:rFonts w:ascii="仿宋_GB2312" w:eastAsia="仿宋_GB2312"/>
          <w:color w:val="000000" w:themeColor="text1"/>
          <w:sz w:val="32"/>
          <w:szCs w:val="32"/>
        </w:rPr>
        <w:t>，预决算差异率0%，差异主要原因是无变化。</w:t>
      </w:r>
      <w:bookmarkEnd w:id="76"/>
      <w:bookmarkStart w:id="77" w:name="OLE_LINK87"/>
      <w:bookmarkStart w:id="7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，预决算差异率0%，差异主要原因是无因公出国（境）支出；</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无公务接待费支出。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2018年度新疆喀什地区塔什库尔干县审计局机关运行经费支出110.08万元，与上年相比，增加106.13万元，增长2686.84%，增加的主要原因是：2018年是脱贫攻坚重要之年，相关脱贫审计工作任务重，办公费增加。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0.87</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0.51</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0.36</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highlight w:val="none"/>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10.78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w:t>
      </w:r>
      <w:r>
        <w:rPr>
          <w:rFonts w:hint="eastAsia" w:ascii="仿宋_GB2312" w:eastAsia="仿宋_GB2312"/>
          <w:color w:val="000000" w:themeColor="text1"/>
          <w:sz w:val="32"/>
          <w:szCs w:val="32"/>
          <w:highlight w:val="none"/>
        </w:rPr>
        <w:t>其他用车</w:t>
      </w:r>
      <w:r>
        <w:rPr>
          <w:rFonts w:ascii="仿宋_GB2312" w:eastAsia="仿宋_GB2312"/>
          <w:color w:val="000000" w:themeColor="text1"/>
          <w:sz w:val="32"/>
          <w:szCs w:val="32"/>
          <w:highlight w:val="none"/>
        </w:rPr>
        <w:t>1</w:t>
      </w:r>
      <w:r>
        <w:rPr>
          <w:rFonts w:hint="eastAsia" w:ascii="仿宋_GB2312" w:eastAsia="仿宋_GB2312"/>
          <w:color w:val="000000" w:themeColor="text1"/>
          <w:sz w:val="32"/>
          <w:szCs w:val="32"/>
          <w:highlight w:val="none"/>
        </w:rPr>
        <w:t>辆，其他用车主要是：</w:t>
      </w:r>
      <w:r>
        <w:rPr>
          <w:rFonts w:hint="eastAsia" w:ascii="仿宋_GB2312" w:eastAsia="仿宋_GB2312"/>
          <w:color w:val="000000" w:themeColor="text1"/>
          <w:sz w:val="32"/>
          <w:szCs w:val="32"/>
          <w:highlight w:val="none"/>
          <w:lang w:eastAsia="zh-CN"/>
        </w:rPr>
        <w:t>小轿车一辆，主要用于单位日常审计外出公务用车</w:t>
      </w:r>
      <w:r>
        <w:rPr>
          <w:rFonts w:ascii="仿宋_GB2312" w:eastAsia="仿宋_GB2312"/>
          <w:color w:val="000000" w:themeColor="text1"/>
          <w:sz w:val="32"/>
          <w:szCs w:val="32"/>
          <w:highlight w:val="none"/>
        </w:rPr>
        <w:t>；</w:t>
      </w:r>
      <w:r>
        <w:rPr>
          <w:rFonts w:hint="eastAsia" w:ascii="仿宋_GB2312" w:eastAsia="仿宋_GB2312"/>
          <w:color w:val="000000" w:themeColor="text1"/>
          <w:sz w:val="32"/>
          <w:szCs w:val="32"/>
          <w:highlight w:val="none"/>
        </w:rPr>
        <w:t>单位价值50万元以上通用设备</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台（套）、单位价值100万元以上专用设备</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hint="eastAsia" w:ascii="仿宋_GB2312" w:eastAsia="仿宋_GB2312"/>
          <w:sz w:val="32"/>
          <w:szCs w:val="32"/>
          <w:lang w:val="en-US" w:eastAsia="zh-CN"/>
        </w:rPr>
        <w:t>塔什库尔干</w:t>
      </w:r>
      <w:r>
        <w:rPr>
          <w:rFonts w:ascii="仿宋_GB2312" w:eastAsia="仿宋_GB2312"/>
          <w:sz w:val="32"/>
          <w:szCs w:val="32"/>
        </w:rPr>
        <w:t>县审计局严格按照2018年预算绩效管理工作计划开展工作，已安排专人填报审计局项目绩效目标申报表、绩效表、整体支出绩效申报表、整体支出绩效表，撰写整体支出绩效报告。积极参与</w:t>
      </w:r>
      <w:r>
        <w:rPr>
          <w:rFonts w:hint="eastAsia" w:ascii="仿宋_GB2312" w:eastAsia="仿宋_GB2312"/>
          <w:sz w:val="32"/>
          <w:szCs w:val="32"/>
          <w:lang w:val="en-US" w:eastAsia="zh-CN"/>
        </w:rPr>
        <w:t>塔什库尔干</w:t>
      </w:r>
      <w:r>
        <w:rPr>
          <w:rFonts w:ascii="仿宋_GB2312" w:eastAsia="仿宋_GB2312"/>
          <w:sz w:val="32"/>
          <w:szCs w:val="32"/>
        </w:rPr>
        <w:t>县财政组织的绩效工作培训，并按照培训要求，及时调整绩效指标，不断提升绩效管理工作水平。2018年财政预算115.79万元，2018年财政收入644.47万元，占本年收入100%，财政支出644.47万元，占本年支出100%，其中基本支出220.82万元用于保障本单位工资和单位的基本运行，并做到了尽可能节俭开支；项目支出423.66万元，用于支付5家审计公司竣工决算审计费。截止2018年末，完成全部工作目标，切实提高了政府投资资金使用效益，财政收支未发生重大问题。</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竣工决算审计费用项目项目绩效自评综述：根据年初设定的绩效目标，该项目绩效自评得分为100分。项目全年预算数为423.66万元，执行数为423.66万元，完成预算的100%。主要产出和效果：2018年共接到各单位委托进行竣工决算审计项目49个，送审总价18174.21万元；完成39个，送审总价13380.42万元，审定价12434.36万元，核减946.05万元，核减率7.1%。节约国家资金946.05万元。项目完工及时提供审计报告给被审计单位进行整改，取得了很好的审计效果。共节约国家资金946.05万元，提出建议均被被审计单位采纳。</w:t>
      </w:r>
      <w:bookmarkStart w:id="88" w:name="_GoBack"/>
      <w:bookmarkEnd w:id="88"/>
      <w:r>
        <w:rPr>
          <w:rFonts w:ascii="仿宋_GB2312" w:hAnsi="仿宋_GB2312" w:eastAsia="仿宋_GB2312" w:cs="仿宋_GB2312"/>
          <w:b w:val="0"/>
          <w:color w:val="auto"/>
          <w:sz w:val="32"/>
          <w:u w:val="none"/>
        </w:rPr>
        <w:t>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下一步改进措施：无</w:t>
      </w:r>
      <w:r>
        <w:rPr>
          <w:rFonts w:hint="eastAsia" w:ascii="仿宋_GB2312" w:hAnsi="仿宋_GB2312" w:eastAsia="仿宋_GB2312" w:cs="仿宋_GB2312"/>
          <w:b w:val="0"/>
          <w:color w:val="auto"/>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201（类）08（款）01（项）指：行政运行。201（类）08（款）04（项）指：审计业务。221（类）02（款）01（项）指：住房公积金。208（类）05（款）05（项）指：机关事业单位基本养老保险缴费支出。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FD1844"/>
    <w:rsid w:val="027169F6"/>
    <w:rsid w:val="028847F9"/>
    <w:rsid w:val="03AA79F6"/>
    <w:rsid w:val="04741FE5"/>
    <w:rsid w:val="04DB02C7"/>
    <w:rsid w:val="06967498"/>
    <w:rsid w:val="06B856EE"/>
    <w:rsid w:val="07FE5938"/>
    <w:rsid w:val="084604BC"/>
    <w:rsid w:val="08793267"/>
    <w:rsid w:val="08883825"/>
    <w:rsid w:val="09725983"/>
    <w:rsid w:val="0A0D7F03"/>
    <w:rsid w:val="0A382BB5"/>
    <w:rsid w:val="0A726DA3"/>
    <w:rsid w:val="0A973FDD"/>
    <w:rsid w:val="0AA4543A"/>
    <w:rsid w:val="0BE61132"/>
    <w:rsid w:val="0C9B0DD6"/>
    <w:rsid w:val="0CA407C6"/>
    <w:rsid w:val="0CAB151E"/>
    <w:rsid w:val="0CE4791C"/>
    <w:rsid w:val="0E063C64"/>
    <w:rsid w:val="0F4C7B96"/>
    <w:rsid w:val="0FBF3B2B"/>
    <w:rsid w:val="0FFB575E"/>
    <w:rsid w:val="10845F1B"/>
    <w:rsid w:val="11463A00"/>
    <w:rsid w:val="11600918"/>
    <w:rsid w:val="11B0398F"/>
    <w:rsid w:val="12BA7158"/>
    <w:rsid w:val="13B960C5"/>
    <w:rsid w:val="14271BAA"/>
    <w:rsid w:val="152777F4"/>
    <w:rsid w:val="15C674B6"/>
    <w:rsid w:val="16F3236F"/>
    <w:rsid w:val="182D70A9"/>
    <w:rsid w:val="18D54A0D"/>
    <w:rsid w:val="1A4106A0"/>
    <w:rsid w:val="1A4F5437"/>
    <w:rsid w:val="1A715C6D"/>
    <w:rsid w:val="1AB77CD0"/>
    <w:rsid w:val="1C4B642A"/>
    <w:rsid w:val="1DE844ED"/>
    <w:rsid w:val="1DEA5218"/>
    <w:rsid w:val="1E807156"/>
    <w:rsid w:val="1EA657F6"/>
    <w:rsid w:val="1F097CB6"/>
    <w:rsid w:val="208E5C18"/>
    <w:rsid w:val="2166156B"/>
    <w:rsid w:val="21B02D83"/>
    <w:rsid w:val="22A236F5"/>
    <w:rsid w:val="23995975"/>
    <w:rsid w:val="2432220E"/>
    <w:rsid w:val="248303BA"/>
    <w:rsid w:val="24837E47"/>
    <w:rsid w:val="252E01AA"/>
    <w:rsid w:val="26485F35"/>
    <w:rsid w:val="2680023E"/>
    <w:rsid w:val="278130F4"/>
    <w:rsid w:val="29680352"/>
    <w:rsid w:val="29C87595"/>
    <w:rsid w:val="2A020F75"/>
    <w:rsid w:val="2B007AEE"/>
    <w:rsid w:val="2BC14C56"/>
    <w:rsid w:val="2BE5291D"/>
    <w:rsid w:val="2C1B026F"/>
    <w:rsid w:val="2CC61F55"/>
    <w:rsid w:val="2D153D4D"/>
    <w:rsid w:val="2EF7452F"/>
    <w:rsid w:val="2F1D13B4"/>
    <w:rsid w:val="2FAA3DA6"/>
    <w:rsid w:val="30682E1F"/>
    <w:rsid w:val="30AE5B24"/>
    <w:rsid w:val="30E210D2"/>
    <w:rsid w:val="311371D6"/>
    <w:rsid w:val="31EB64C9"/>
    <w:rsid w:val="336D0D6F"/>
    <w:rsid w:val="352E4BEC"/>
    <w:rsid w:val="35336687"/>
    <w:rsid w:val="36647C83"/>
    <w:rsid w:val="37DD5594"/>
    <w:rsid w:val="38F24FA8"/>
    <w:rsid w:val="3A98342A"/>
    <w:rsid w:val="3AB6780E"/>
    <w:rsid w:val="3AD56D70"/>
    <w:rsid w:val="3B2920C2"/>
    <w:rsid w:val="3B3C5F6A"/>
    <w:rsid w:val="3B7F43DE"/>
    <w:rsid w:val="3BE41ABD"/>
    <w:rsid w:val="3C5421A9"/>
    <w:rsid w:val="3D903B21"/>
    <w:rsid w:val="3F440741"/>
    <w:rsid w:val="3F624485"/>
    <w:rsid w:val="3FE5325E"/>
    <w:rsid w:val="41FC306C"/>
    <w:rsid w:val="44BE5554"/>
    <w:rsid w:val="451E0908"/>
    <w:rsid w:val="452C2D31"/>
    <w:rsid w:val="458C29AB"/>
    <w:rsid w:val="45D26E14"/>
    <w:rsid w:val="46A541B1"/>
    <w:rsid w:val="47823D62"/>
    <w:rsid w:val="48C57772"/>
    <w:rsid w:val="49782886"/>
    <w:rsid w:val="4A6F0D28"/>
    <w:rsid w:val="4AA526E2"/>
    <w:rsid w:val="4AAF085C"/>
    <w:rsid w:val="4AE35210"/>
    <w:rsid w:val="4AEB7E60"/>
    <w:rsid w:val="4B4B135B"/>
    <w:rsid w:val="4BC7055F"/>
    <w:rsid w:val="4BFC6DD6"/>
    <w:rsid w:val="4C446636"/>
    <w:rsid w:val="4CAF78A4"/>
    <w:rsid w:val="4CFC7DB2"/>
    <w:rsid w:val="4DFE0FB4"/>
    <w:rsid w:val="4E186125"/>
    <w:rsid w:val="4E7C187D"/>
    <w:rsid w:val="508941AD"/>
    <w:rsid w:val="50E65530"/>
    <w:rsid w:val="51457139"/>
    <w:rsid w:val="51574DBD"/>
    <w:rsid w:val="51AA32BC"/>
    <w:rsid w:val="51EC1DA8"/>
    <w:rsid w:val="52FC5524"/>
    <w:rsid w:val="532D7A17"/>
    <w:rsid w:val="54AF4562"/>
    <w:rsid w:val="54C9674B"/>
    <w:rsid w:val="556318EA"/>
    <w:rsid w:val="55A60AA1"/>
    <w:rsid w:val="56451615"/>
    <w:rsid w:val="56874D12"/>
    <w:rsid w:val="57F8228D"/>
    <w:rsid w:val="57FC5774"/>
    <w:rsid w:val="59020F59"/>
    <w:rsid w:val="59B332C9"/>
    <w:rsid w:val="5A44758A"/>
    <w:rsid w:val="5AFE3698"/>
    <w:rsid w:val="5BE2416B"/>
    <w:rsid w:val="5BEC4BB3"/>
    <w:rsid w:val="5C070B55"/>
    <w:rsid w:val="5CB96DCE"/>
    <w:rsid w:val="5CE61580"/>
    <w:rsid w:val="5D175666"/>
    <w:rsid w:val="5D556A3C"/>
    <w:rsid w:val="5D7B25C9"/>
    <w:rsid w:val="5ECB44B4"/>
    <w:rsid w:val="5EE2043C"/>
    <w:rsid w:val="602D2E37"/>
    <w:rsid w:val="61460FBE"/>
    <w:rsid w:val="62775810"/>
    <w:rsid w:val="62D83744"/>
    <w:rsid w:val="630F4048"/>
    <w:rsid w:val="63313D63"/>
    <w:rsid w:val="63AA02E5"/>
    <w:rsid w:val="64700DE9"/>
    <w:rsid w:val="64E6305A"/>
    <w:rsid w:val="65017B57"/>
    <w:rsid w:val="65677006"/>
    <w:rsid w:val="65C613BD"/>
    <w:rsid w:val="65FD118C"/>
    <w:rsid w:val="67B24ECE"/>
    <w:rsid w:val="682C3D89"/>
    <w:rsid w:val="68611305"/>
    <w:rsid w:val="690741A3"/>
    <w:rsid w:val="698972F1"/>
    <w:rsid w:val="69E05D78"/>
    <w:rsid w:val="6A162DE0"/>
    <w:rsid w:val="6A331428"/>
    <w:rsid w:val="6ACC2D09"/>
    <w:rsid w:val="6B2E5CB6"/>
    <w:rsid w:val="6B3D4886"/>
    <w:rsid w:val="6B832C37"/>
    <w:rsid w:val="6BD8612F"/>
    <w:rsid w:val="6DF8675E"/>
    <w:rsid w:val="6EA80098"/>
    <w:rsid w:val="6F8D70FF"/>
    <w:rsid w:val="6FFE5011"/>
    <w:rsid w:val="70B305F7"/>
    <w:rsid w:val="7178734D"/>
    <w:rsid w:val="71791096"/>
    <w:rsid w:val="717B0C34"/>
    <w:rsid w:val="71DA04DA"/>
    <w:rsid w:val="71FB78FD"/>
    <w:rsid w:val="7275064A"/>
    <w:rsid w:val="733726D8"/>
    <w:rsid w:val="733F750B"/>
    <w:rsid w:val="735702E2"/>
    <w:rsid w:val="73C60586"/>
    <w:rsid w:val="74EF3546"/>
    <w:rsid w:val="752B2C85"/>
    <w:rsid w:val="756D3777"/>
    <w:rsid w:val="765F635A"/>
    <w:rsid w:val="76B73454"/>
    <w:rsid w:val="76D254BD"/>
    <w:rsid w:val="77727ACD"/>
    <w:rsid w:val="78071142"/>
    <w:rsid w:val="79296B37"/>
    <w:rsid w:val="79F42088"/>
    <w:rsid w:val="7A4C4C40"/>
    <w:rsid w:val="7AA0518E"/>
    <w:rsid w:val="7B041636"/>
    <w:rsid w:val="7BEB55DE"/>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2</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2020-04-05T04:14:28Z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